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6369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A6369" w:rsidRPr="00AF2D8C" w:rsidRDefault="00CA6369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Obiteljski biznis</w:t>
            </w:r>
          </w:p>
        </w:tc>
      </w:tr>
      <w:tr w:rsidR="00CA6369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EUBB12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Izv.prof.dr.sc. Vlatka Škokić</w:t>
            </w:r>
          </w:p>
          <w:p w:rsidR="007659D9" w:rsidRPr="00AF2D8C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9D9">
              <w:rPr>
                <w:rFonts w:ascii="Arial" w:hAnsi="Arial" w:cs="Arial"/>
                <w:color w:val="FF0000"/>
                <w:sz w:val="20"/>
                <w:szCs w:val="20"/>
              </w:rPr>
              <w:t>Izv.prof.dr.sc.</w:t>
            </w:r>
            <w:r>
              <w:rPr>
                <w:rFonts w:ascii="Arial" w:hAnsi="Arial" w:cs="Arial"/>
                <w:sz w:val="20"/>
                <w:szCs w:val="20"/>
              </w:rPr>
              <w:t xml:space="preserve"> Ivana Bulog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A6369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A6369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92B3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Upoznati studente s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temeljnim pojmovima, konceptima i modelima obiteljskog poduzetništva. 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59D9" w:rsidRPr="003745F8" w:rsidRDefault="007659D9" w:rsidP="007659D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5882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Osmisliti strategiju poslovanja i efikasno upravljati obiteljskim poduzećem.</w:t>
            </w: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A6369" w:rsidRPr="00AF2D8C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različite aspekte obiteljskog poslovanja.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stanje i procese obiteljskog biznisa, njegovih specifičnosti i zakonitosti razvoja.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Utvrditi primjerenost odabranih strategija nasljeđivanja obiteljskih poduzeća.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mehanizme korporativne kontrole obiteljskih poduzeća.</w:t>
            </w:r>
          </w:p>
          <w:p w:rsidR="00CA6369" w:rsidRPr="00AF2D8C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proces upravljanja obiteljskim poduzećem i njegove razvojne potencijale.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CA6369" w:rsidRPr="00AF2D8C" w:rsidTr="00052A28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CA6369" w:rsidRPr="00AF2D8C" w:rsidTr="00052A28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A6369" w:rsidRPr="00AF2D8C" w:rsidTr="00052A28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Kviz I. 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Ob. poduzeće. Priroda i struktura OB.  Značenje  u svj.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Prikaz najvećih svjetskih OB. Dominacija OB u svj.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Odgovornost za obveze obrta, vođenje, nasljeđivanje obrta. </w:t>
                  </w:r>
                </w:p>
                <w:p w:rsidR="0023294B" w:rsidRPr="00AF2D8C" w:rsidRDefault="0023294B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294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 i kultura OB. Vodstvo obiteljskih poduzeća.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"Fiat company" - obiteljska kultura, vodstvo i pitanja s kojima se suočavaju OB.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Različitost uloga aktera; analiza slučaja "Obiteljski biznis: Pekara".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Obiteljska dimenzija OB.</w:t>
                  </w:r>
                </w:p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Poslovna dimenzija OB.</w:t>
                  </w:r>
                </w:p>
                <w:p w:rsidR="00006FFE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Vlasnička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06FFE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Ponavljanje gradiva. </w:t>
                  </w:r>
                </w:p>
                <w:p w:rsidR="00006FFE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Kviz.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</w:t>
                  </w: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697AD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</w:t>
                  </w:r>
                  <w:bookmarkStart w:id="0" w:name="_GoBack"/>
                  <w:bookmarkEnd w:id="0"/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Model razvoja OB na primjeru "Recept gđe Fields za uspjeh".</w:t>
                  </w:r>
                </w:p>
                <w:p w:rsidR="00544CC4" w:rsidRPr="00AF2D8C" w:rsidRDefault="00544CC4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Studija slučaja: Michelin - identifikacija sljedeće generacije managera i lidera.</w:t>
                  </w:r>
                </w:p>
                <w:p w:rsidR="00006FFE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Ford Motor Comp.; faze procesa nasljeđivanja i tranzicija managementa. </w:t>
                  </w:r>
                </w:p>
                <w:p w:rsidR="00544CC4" w:rsidRPr="00AF2D8C" w:rsidRDefault="00544CC4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slučaja: Benetton - prijenos managementa i vlasnička dimenzija. </w:t>
                  </w:r>
                </w:p>
                <w:p w:rsidR="00006FFE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4CC4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Nasljeđivanje vlasništva nad obiteljskim poduzećem na primjeru Barilla. </w:t>
                  </w:r>
                </w:p>
                <w:p w:rsidR="00006FFE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Ponavljanje pred kolokvij.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A6369" w:rsidRPr="00AF2D8C" w:rsidTr="00052A28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6FF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AF2D8C" w:rsidRDefault="0023294B" w:rsidP="0023294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Kviz II. Sumiranje rezultata i priprema za ispit. </w:t>
                  </w:r>
                  <w:r w:rsidR="00006FF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AF2D8C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7659D9" w:rsidRDefault="007659D9" w:rsidP="00052A28">
            <w:pPr>
              <w:pStyle w:val="FieldText"/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color w:val="FF0000"/>
                <w:sz w:val="20"/>
                <w:szCs w:val="20"/>
                <w:lang w:val="hr-HR"/>
              </w:rPr>
              <w:t xml:space="preserve">X </w:t>
            </w:r>
            <w:r w:rsidR="00CA6369" w:rsidRPr="007659D9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>predavanja</w:t>
            </w:r>
          </w:p>
          <w:p w:rsidR="00CA6369" w:rsidRPr="007659D9" w:rsidRDefault="007659D9" w:rsidP="00052A28">
            <w:pPr>
              <w:pStyle w:val="FieldText"/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color w:val="FF0000"/>
                <w:sz w:val="20"/>
                <w:szCs w:val="20"/>
                <w:lang w:val="hr-HR"/>
              </w:rPr>
              <w:t xml:space="preserve">X </w:t>
            </w:r>
            <w:r w:rsidR="00CA6369" w:rsidRPr="007659D9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 xml:space="preserve">seminari i radionice  </w:t>
            </w:r>
          </w:p>
          <w:p w:rsidR="00CA6369" w:rsidRPr="007659D9" w:rsidRDefault="007659D9" w:rsidP="00052A28">
            <w:pPr>
              <w:pStyle w:val="FieldText"/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color w:val="FF0000"/>
                <w:sz w:val="20"/>
                <w:szCs w:val="20"/>
                <w:lang w:val="hr-HR"/>
              </w:rPr>
              <w:t xml:space="preserve">X </w:t>
            </w:r>
            <w:r w:rsidR="00CA6369" w:rsidRPr="007659D9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 xml:space="preserve">vježbe 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7659D9" w:rsidRDefault="007659D9" w:rsidP="00052A28">
            <w:pPr>
              <w:pStyle w:val="FieldText"/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color w:val="FF0000"/>
                <w:sz w:val="20"/>
                <w:szCs w:val="20"/>
                <w:lang w:val="hr-HR"/>
              </w:rPr>
              <w:t xml:space="preserve">X </w:t>
            </w:r>
            <w:r w:rsidR="00CA6369" w:rsidRPr="007659D9">
              <w:rPr>
                <w:rFonts w:ascii="Arial" w:hAnsi="Arial" w:cs="Arial"/>
                <w:color w:val="FF0000"/>
                <w:sz w:val="20"/>
                <w:szCs w:val="20"/>
                <w:lang w:val="hr-HR"/>
              </w:rPr>
              <w:t xml:space="preserve">samostalni  zadaci 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112A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C112A" w:rsidRPr="00AF2D8C">
              <w:rPr>
                <w:rFonts w:ascii="Arial" w:hAnsi="Arial" w:cs="Arial"/>
                <w:sz w:val="20"/>
                <w:szCs w:val="20"/>
              </w:rPr>
            </w:r>
            <w:r w:rsidR="002C112A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2C112A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6369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7659D9" w:rsidP="00544C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A2187">
              <w:rPr>
                <w:rFonts w:ascii="Times New Roman" w:hAnsi="Times New Roman"/>
                <w:sz w:val="20"/>
                <w:szCs w:val="20"/>
              </w:rPr>
              <w:t xml:space="preserve">Obveza studenata za stjecanje prava na potpis je redovito pohađanje nastave (minimalno </w:t>
            </w:r>
            <w:r>
              <w:rPr>
                <w:rFonts w:ascii="Times New Roman" w:hAnsi="Times New Roman"/>
                <w:sz w:val="20"/>
                <w:szCs w:val="20"/>
              </w:rPr>
              <w:t>60% ukupne nastave</w:t>
            </w:r>
            <w:r w:rsidRPr="000A2187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Uz prisustvovanje na nastavi, potrebno je i aktivno sudjelovanje kr</w:t>
            </w:r>
            <w:r w:rsidR="00544CC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oz rješavanje studija slučaja. </w:t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  <w:r w:rsidR="007659D9" w:rsidRPr="007659D9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Uvjet za dobivanje potpisa, što je ujedno i uvjet za izlazak na ispit je 60% prisustvovanje nastavi. </w:t>
            </w:r>
          </w:p>
          <w:p w:rsidR="00CA6369" w:rsidRPr="00AF2D8C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Provjera znanja će se provoditi </w:t>
            </w:r>
            <w:r w:rsidR="00544CC4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trajanja semestra putem dva kolokvija. </w:t>
            </w:r>
          </w:p>
          <w:p w:rsidR="00544CC4" w:rsidRPr="000F03DC" w:rsidRDefault="00CA636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Studenti koji polože oba kolokvija</w:t>
            </w:r>
            <w:r w:rsidR="00E26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319" w:rsidRPr="00544CC4">
              <w:rPr>
                <w:rFonts w:ascii="Arial" w:hAnsi="Arial" w:cs="Arial"/>
                <w:color w:val="FF0000"/>
                <w:sz w:val="20"/>
                <w:szCs w:val="20"/>
              </w:rPr>
              <w:t>(prolazna ocjena je 60%)</w:t>
            </w:r>
            <w:r w:rsidRPr="00544CC4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AF2D8C">
              <w:rPr>
                <w:rFonts w:ascii="Arial" w:hAnsi="Arial" w:cs="Arial"/>
                <w:sz w:val="20"/>
                <w:szCs w:val="20"/>
              </w:rPr>
              <w:t>oslobođeni su ispita i dobivaju ocjenu iz ovog predmeta.</w:t>
            </w:r>
            <w:r w:rsidR="007659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03DC">
              <w:rPr>
                <w:rFonts w:ascii="Arial" w:hAnsi="Arial" w:cs="Arial"/>
                <w:color w:val="FF0000"/>
                <w:sz w:val="20"/>
                <w:szCs w:val="20"/>
              </w:rPr>
              <w:t xml:space="preserve">Svaki test nosi 40 bodova. </w:t>
            </w:r>
          </w:p>
          <w:p w:rsidR="00E268F9" w:rsidRDefault="00E268F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Praktični rad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se odnosi na analizu nekog praktičnog primjera (studije slučaja). </w:t>
            </w:r>
            <w:r w:rsidR="00544CC4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koji se odluče za praktični rad te uspješno naprave analizu te prezentaciju (u terminu vježbi), dobivaju veću zaključnu ocjenu. </w:t>
            </w:r>
            <w:r w:rsidR="008738D6">
              <w:rPr>
                <w:rFonts w:ascii="Arial" w:hAnsi="Arial" w:cs="Arial"/>
                <w:color w:val="FF0000"/>
                <w:sz w:val="20"/>
                <w:szCs w:val="20"/>
              </w:rPr>
              <w:t>Praktični rad</w:t>
            </w:r>
            <w:r w:rsidR="00544CC4">
              <w:rPr>
                <w:rFonts w:ascii="Arial" w:hAnsi="Arial" w:cs="Arial"/>
                <w:color w:val="FF0000"/>
                <w:sz w:val="20"/>
                <w:szCs w:val="20"/>
              </w:rPr>
              <w:t xml:space="preserve"> nosi maksimalno </w:t>
            </w:r>
            <w:r w:rsidR="00544CC4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10 bodova gdje se vrednuju elementi provedene analize, korištene literature, iznesenih zaključaka te kvaliteta same prezentacije. Oni studenti koji ostvare između 8 i 10 bodova su uspješno odradili prezentaciju te dobivaju veću ocjenu. </w:t>
            </w:r>
            <w:r w:rsidR="00C41389">
              <w:rPr>
                <w:rFonts w:ascii="Arial" w:hAnsi="Arial" w:cs="Arial"/>
                <w:color w:val="FF0000"/>
                <w:sz w:val="20"/>
                <w:szCs w:val="20"/>
              </w:rPr>
              <w:t xml:space="preserve">Samo oni studenti koji ostvare barem prolaznu ocjenu iz oba kolokvija mogu ostvariti veću zaključnu ocjenu. </w:t>
            </w:r>
          </w:p>
          <w:p w:rsidR="00CA6369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659D9" w:rsidRPr="007659D9" w:rsidRDefault="007659D9" w:rsidP="00D347C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1* Studenti koji ne polože predmet putem kolokvija će polagati isti putem ispita.</w:t>
            </w:r>
          </w:p>
          <w:p w:rsidR="007659D9" w:rsidRDefault="007659D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659D9" w:rsidRPr="00E268F9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Bodovni pragovi</w:t>
            </w:r>
            <w:r w:rsidR="006A699C">
              <w:rPr>
                <w:rFonts w:ascii="Arial" w:hAnsi="Arial" w:cs="Arial"/>
                <w:color w:val="FF0000"/>
                <w:sz w:val="20"/>
                <w:szCs w:val="20"/>
              </w:rPr>
              <w:t xml:space="preserve"> (pojedini test): </w:t>
            </w:r>
          </w:p>
          <w:p w:rsidR="007659D9" w:rsidRPr="00E268F9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0-23 nedovoljan (1)</w:t>
            </w:r>
          </w:p>
          <w:p w:rsidR="007659D9" w:rsidRPr="00E268F9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24-27 dovoljan (2)</w:t>
            </w:r>
          </w:p>
          <w:p w:rsidR="007659D9" w:rsidRPr="00E268F9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28-31 dobar (3)</w:t>
            </w:r>
          </w:p>
          <w:p w:rsidR="00E268F9" w:rsidRPr="00E268F9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32-35 vrlo dobar (4)</w:t>
            </w:r>
          </w:p>
          <w:p w:rsidR="00E268F9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36-40 odličan (5)</w:t>
            </w:r>
          </w:p>
          <w:p w:rsidR="00E268F9" w:rsidRPr="007659D9" w:rsidRDefault="00E268F9" w:rsidP="00E268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A636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1.Kružić, D. Bulog, I.: </w:t>
            </w:r>
            <w:r w:rsidRPr="00AF2D8C">
              <w:rPr>
                <w:rFonts w:ascii="Arial" w:hAnsi="Arial" w:cs="Arial"/>
                <w:b/>
                <w:i/>
                <w:sz w:val="20"/>
                <w:szCs w:val="20"/>
              </w:rPr>
              <w:t>Obiteljska poduzeća: životni ciklusi, nasljeđivanje i održivost</w:t>
            </w:r>
            <w:r w:rsidRPr="00AF2D8C">
              <w:rPr>
                <w:rFonts w:ascii="Arial" w:hAnsi="Arial" w:cs="Arial"/>
                <w:sz w:val="20"/>
                <w:szCs w:val="20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2. Lansberg, I.: </w:t>
            </w:r>
            <w:r w:rsidRPr="00AF2D8C">
              <w:rPr>
                <w:rFonts w:ascii="Arial" w:hAnsi="Arial" w:cs="Arial"/>
                <w:b/>
                <w:i/>
                <w:sz w:val="20"/>
                <w:szCs w:val="20"/>
              </w:rPr>
              <w:t>Succeeding Generations: Realizing the Dream of Families in Business</w:t>
            </w:r>
            <w:r w:rsidRPr="00AF2D8C">
              <w:rPr>
                <w:rFonts w:ascii="Arial" w:hAnsi="Arial" w:cs="Arial"/>
                <w:sz w:val="20"/>
                <w:szCs w:val="20"/>
              </w:rPr>
              <w:t>, Harvard Business School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052A28">
            <w:pPr>
              <w:pStyle w:val="FootnoteText"/>
              <w:jc w:val="both"/>
              <w:rPr>
                <w:rFonts w:ascii="Arial" w:hAnsi="Arial" w:cs="Arial"/>
                <w:lang w:val="hr-HR"/>
              </w:rPr>
            </w:pPr>
            <w:r w:rsidRPr="00AF2D8C">
              <w:rPr>
                <w:rFonts w:ascii="Arial" w:hAnsi="Arial" w:cs="Arial"/>
                <w:lang w:val="hr-HR"/>
              </w:rPr>
              <w:t>Gersick, E. K., Davis, A. J., McCollom Hampton, M., Lansberg, I.: Generation to Generation - Life Cycles of the Family Business, Harvard Business School Press, Boston, Massachusetts, 1997.</w:t>
            </w:r>
          </w:p>
          <w:p w:rsidR="00CA6369" w:rsidRPr="00AF2D8C" w:rsidRDefault="00CA6369" w:rsidP="00052A28">
            <w:pPr>
              <w:pStyle w:val="FootnoteText"/>
              <w:jc w:val="both"/>
              <w:rPr>
                <w:rFonts w:ascii="Arial" w:hAnsi="Arial" w:cs="Arial"/>
                <w:lang w:val="hr-HR"/>
              </w:rPr>
            </w:pPr>
            <w:r w:rsidRPr="00AF2D8C">
              <w:rPr>
                <w:rFonts w:ascii="Arial" w:hAnsi="Arial" w:cs="Arial"/>
                <w:lang w:val="hr-HR"/>
              </w:rPr>
              <w:t>Carlock, S R. - Ward, L. J.: Strategic Planning for the Family Business, Parallel Planning to Unify the Family   and Business, Palgrave, 2001.</w:t>
            </w:r>
          </w:p>
          <w:p w:rsidR="00CA6369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Ward, J.: Keeping the Family Business Healthy, How to Plan for Continuing Growth, Profitability, and Family Leadership, Family Enterprise Publishers, Marietta, 1997.</w:t>
            </w:r>
          </w:p>
          <w:p w:rsidR="00E268F9" w:rsidRPr="00CB1812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Kružić, D., Šustić-Bakula, I., &amp; Pavić</w:t>
            </w:r>
            <w:r w:rsidR="00CB1812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(Bulog)</w:t>
            </w:r>
            <w:r w:rsidRPr="00E268F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 I. (2008). Young generation and relevance of the family business education: empirical evidence from Croatia. In </w:t>
            </w:r>
            <w:r w:rsidRPr="00E268F9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Promoting </w:t>
            </w:r>
            <w:r w:rsidRPr="00CB1812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Enterpreneurship by Universities</w:t>
            </w:r>
            <w:r w:rsidRPr="00CB1812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 Lahti University of Applied Sciences.</w:t>
            </w:r>
          </w:p>
          <w:p w:rsidR="00E268F9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</w:rPr>
              <w:t>Škokić, V., Visnar, A., &amp; Vadnjal, J. (2015). Transgenerational Views on the Success and the Future Development of Family Firms. Review of European Studies, 7(12), 103-120.</w:t>
            </w:r>
          </w:p>
          <w:p w:rsidR="00E268F9" w:rsidRPr="00AF2D8C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68F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Skokic, V., Vadnjal, J., &amp; Coh, M. (2015). Attitudes and Behaviour of Family Businesses in Slovenia Compared to the Europe. </w:t>
            </w:r>
            <w:r w:rsidRPr="00E268F9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European Journal of Business and Social Sciences</w:t>
            </w:r>
            <w:r w:rsidRPr="00E268F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E268F9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4</w:t>
            </w:r>
            <w:r w:rsidRPr="00E268F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(05), 54-67.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A6369" w:rsidRPr="00AF2D8C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A636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AF2D8C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AF2D8C" w:rsidRDefault="002C112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A3D" w:rsidRDefault="00427A3D" w:rsidP="00CA6369">
      <w:pPr>
        <w:spacing w:after="0" w:line="240" w:lineRule="auto"/>
      </w:pPr>
      <w:r>
        <w:separator/>
      </w:r>
    </w:p>
  </w:endnote>
  <w:endnote w:type="continuationSeparator" w:id="0">
    <w:p w:rsidR="00427A3D" w:rsidRDefault="00427A3D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A3D" w:rsidRDefault="00427A3D" w:rsidP="00CA6369">
      <w:pPr>
        <w:spacing w:after="0" w:line="240" w:lineRule="auto"/>
      </w:pPr>
      <w:r>
        <w:separator/>
      </w:r>
    </w:p>
  </w:footnote>
  <w:footnote w:type="continuationSeparator" w:id="0">
    <w:p w:rsidR="00427A3D" w:rsidRDefault="00427A3D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369"/>
    <w:rsid w:val="00006FFE"/>
    <w:rsid w:val="000878F2"/>
    <w:rsid w:val="000C0C17"/>
    <w:rsid w:val="000F03DC"/>
    <w:rsid w:val="001773F3"/>
    <w:rsid w:val="001D3181"/>
    <w:rsid w:val="0023294B"/>
    <w:rsid w:val="00265319"/>
    <w:rsid w:val="002C112A"/>
    <w:rsid w:val="00424C76"/>
    <w:rsid w:val="00427A3D"/>
    <w:rsid w:val="00445B06"/>
    <w:rsid w:val="00446C0E"/>
    <w:rsid w:val="004F18CA"/>
    <w:rsid w:val="00544CC4"/>
    <w:rsid w:val="005B6B13"/>
    <w:rsid w:val="005E6163"/>
    <w:rsid w:val="00697ADF"/>
    <w:rsid w:val="006A699C"/>
    <w:rsid w:val="0075681F"/>
    <w:rsid w:val="007659D9"/>
    <w:rsid w:val="007A40DE"/>
    <w:rsid w:val="008738D6"/>
    <w:rsid w:val="008F1A7A"/>
    <w:rsid w:val="009D69A1"/>
    <w:rsid w:val="00A92B3C"/>
    <w:rsid w:val="00C15D3C"/>
    <w:rsid w:val="00C41389"/>
    <w:rsid w:val="00C4586E"/>
    <w:rsid w:val="00C55527"/>
    <w:rsid w:val="00CA6369"/>
    <w:rsid w:val="00CB1812"/>
    <w:rsid w:val="00D347C4"/>
    <w:rsid w:val="00E268F9"/>
    <w:rsid w:val="00FA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6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A6369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63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63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2018-06-04T07:54:00Z</dcterms:created>
  <dcterms:modified xsi:type="dcterms:W3CDTF">2018-06-28T10:00:00Z</dcterms:modified>
</cp:coreProperties>
</file>